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BA" w:rsidRPr="004A31BA" w:rsidRDefault="004A31BA" w:rsidP="004A31BA">
      <w:pPr>
        <w:spacing w:after="150" w:line="240" w:lineRule="auto"/>
        <w:jc w:val="center"/>
        <w:textAlignment w:val="baseline"/>
        <w:outlineLvl w:val="0"/>
        <w:rPr>
          <w:rFonts w:ascii="Helvetica" w:eastAsia="Times New Roman" w:hAnsi="Helvetica" w:cs="Helvetica"/>
          <w:caps/>
          <w:color w:val="D23232"/>
          <w:kern w:val="36"/>
          <w:sz w:val="41"/>
          <w:szCs w:val="41"/>
          <w:lang w:eastAsia="en-GB"/>
        </w:rPr>
      </w:pPr>
      <w:r w:rsidRPr="004A31BA">
        <w:rPr>
          <w:rFonts w:ascii="Helvetica" w:eastAsia="Times New Roman" w:hAnsi="Helvetica" w:cs="Helvetica"/>
          <w:caps/>
          <w:color w:val="D23232"/>
          <w:kern w:val="36"/>
          <w:sz w:val="41"/>
          <w:szCs w:val="41"/>
          <w:lang w:eastAsia="en-GB"/>
        </w:rPr>
        <w:t xml:space="preserve">ПРАВИЛНИК О ВРСТАМА ФИСКАЛНИХ РАЧУНА, ТИПОВИМА ТРАНСАКЦИЈА, НАЧИНИМА ПЛАЋАЊА, ПОЗИВАЊУ НА БРОЈ ДРУГОГ ДОКУМЕНТА И ПОЈЕДИНОСТИМА ОСТАЛИХ ЕЛЕМЕНАТА ФИСКАЛНОГ </w:t>
      </w:r>
      <w:proofErr w:type="gramStart"/>
      <w:r w:rsidRPr="004A31BA">
        <w:rPr>
          <w:rFonts w:ascii="Helvetica" w:eastAsia="Times New Roman" w:hAnsi="Helvetica" w:cs="Helvetica"/>
          <w:caps/>
          <w:color w:val="D23232"/>
          <w:kern w:val="36"/>
          <w:sz w:val="41"/>
          <w:szCs w:val="41"/>
          <w:lang w:eastAsia="en-GB"/>
        </w:rPr>
        <w:t>РАЧУНА</w:t>
      </w:r>
      <w:proofErr w:type="gramEnd"/>
      <w:r w:rsidRPr="004A31BA">
        <w:rPr>
          <w:rFonts w:ascii="Helvetica" w:eastAsia="Times New Roman" w:hAnsi="Helvetica" w:cs="Helvetica"/>
          <w:caps/>
          <w:color w:val="D23232"/>
          <w:kern w:val="36"/>
          <w:sz w:val="41"/>
          <w:szCs w:val="41"/>
          <w:lang w:eastAsia="en-GB"/>
        </w:rPr>
        <w:br/>
        <w:t>(ВАЖИ ОД 08.04.2021.)</w:t>
      </w:r>
    </w:p>
    <w:p w:rsidR="004A31BA" w:rsidRPr="004A31BA" w:rsidRDefault="004A31BA" w:rsidP="004A31BA">
      <w:pPr>
        <w:spacing w:after="150" w:line="240" w:lineRule="auto"/>
        <w:jc w:val="center"/>
        <w:textAlignment w:val="baseline"/>
        <w:rPr>
          <w:rFonts w:ascii="inherit" w:eastAsia="Times New Roman" w:hAnsi="inherit" w:cs="Times New Roman"/>
          <w:sz w:val="20"/>
          <w:szCs w:val="20"/>
          <w:lang w:eastAsia="en-GB"/>
        </w:rPr>
      </w:pPr>
      <w:r w:rsidRPr="004A31BA">
        <w:rPr>
          <w:rFonts w:ascii="inherit" w:eastAsia="Times New Roman" w:hAnsi="inherit" w:cs="Times New Roman"/>
          <w:sz w:val="20"/>
          <w:szCs w:val="20"/>
          <w:lang w:eastAsia="en-GB"/>
        </w:rPr>
        <w:t>01.04.2021</w:t>
      </w:r>
      <w:proofErr w:type="gramStart"/>
      <w:r w:rsidRPr="004A31BA">
        <w:rPr>
          <w:rFonts w:ascii="inherit" w:eastAsia="Times New Roman" w:hAnsi="inherit" w:cs="Times New Roman"/>
          <w:sz w:val="20"/>
          <w:szCs w:val="20"/>
          <w:lang w:eastAsia="en-GB"/>
        </w:rPr>
        <w:t>.</w:t>
      </w:r>
      <w:proofErr w:type="gramEnd"/>
      <w:r w:rsidRPr="004A31BA">
        <w:rPr>
          <w:rFonts w:ascii="inherit" w:eastAsia="Times New Roman" w:hAnsi="inherit" w:cs="Times New Roman"/>
          <w:sz w:val="20"/>
          <w:szCs w:val="20"/>
          <w:bdr w:val="none" w:sz="0" w:space="0" w:color="auto" w:frame="1"/>
          <w:lang w:eastAsia="en-GB"/>
        </w:rPr>
        <w:fldChar w:fldCharType="begin"/>
      </w:r>
      <w:r w:rsidRPr="004A31BA">
        <w:rPr>
          <w:rFonts w:ascii="inherit" w:eastAsia="Times New Roman" w:hAnsi="inherit" w:cs="Times New Roman"/>
          <w:sz w:val="20"/>
          <w:szCs w:val="20"/>
          <w:bdr w:val="none" w:sz="0" w:space="0" w:color="auto" w:frame="1"/>
          <w:lang w:eastAsia="en-GB"/>
        </w:rPr>
        <w:instrText xml:space="preserve"> HYPERLINK "https://www.neobilten.com/kategorija/vrsta/propisi/" </w:instrText>
      </w:r>
      <w:r w:rsidRPr="004A31BA">
        <w:rPr>
          <w:rFonts w:ascii="inherit" w:eastAsia="Times New Roman" w:hAnsi="inherit" w:cs="Times New Roman"/>
          <w:sz w:val="20"/>
          <w:szCs w:val="20"/>
          <w:bdr w:val="none" w:sz="0" w:space="0" w:color="auto" w:frame="1"/>
          <w:lang w:eastAsia="en-GB"/>
        </w:rPr>
        <w:fldChar w:fldCharType="separate"/>
      </w:r>
      <w:r w:rsidRPr="004A31BA">
        <w:rPr>
          <w:rFonts w:ascii="inherit" w:eastAsia="Times New Roman" w:hAnsi="inherit" w:cs="Times New Roman"/>
          <w:color w:val="0000FF"/>
          <w:sz w:val="20"/>
          <w:szCs w:val="20"/>
          <w:bdr w:val="none" w:sz="0" w:space="0" w:color="auto" w:frame="1"/>
          <w:lang w:eastAsia="en-GB"/>
        </w:rPr>
        <w:t>Прописи</w:t>
      </w:r>
      <w:r w:rsidRPr="004A31BA">
        <w:rPr>
          <w:rFonts w:ascii="inherit" w:eastAsia="Times New Roman" w:hAnsi="inherit" w:cs="Times New Roman"/>
          <w:sz w:val="20"/>
          <w:szCs w:val="20"/>
          <w:bdr w:val="none" w:sz="0" w:space="0" w:color="auto" w:frame="1"/>
          <w:lang w:eastAsia="en-GB"/>
        </w:rPr>
        <w:fldChar w:fldCharType="end"/>
      </w:r>
      <w:hyperlink r:id="rId4" w:history="1">
        <w:r w:rsidRPr="004A31BA">
          <w:rPr>
            <w:rFonts w:ascii="inherit" w:eastAsia="Times New Roman" w:hAnsi="inherit" w:cs="Times New Roman"/>
            <w:color w:val="0000FF"/>
            <w:sz w:val="20"/>
            <w:szCs w:val="20"/>
            <w:bdr w:val="none" w:sz="0" w:space="0" w:color="auto" w:frame="1"/>
            <w:lang w:eastAsia="en-GB"/>
          </w:rPr>
          <w:t>Порези (остало) / фискалне касе</w:t>
        </w:r>
      </w:hyperlink>
      <w:hyperlink r:id="rId5" w:history="1">
        <w:r w:rsidRPr="004A31BA">
          <w:rPr>
            <w:rFonts w:ascii="inherit" w:eastAsia="Times New Roman" w:hAnsi="inherit" w:cs="Times New Roman"/>
            <w:color w:val="0000FF"/>
            <w:sz w:val="20"/>
            <w:szCs w:val="20"/>
            <w:bdr w:val="none" w:sz="0" w:space="0" w:color="auto" w:frame="1"/>
            <w:lang w:eastAsia="en-GB"/>
          </w:rPr>
          <w:t>Правилник</w:t>
        </w:r>
      </w:hyperlink>
      <w:r w:rsidRPr="004A31BA">
        <w:rPr>
          <w:rFonts w:ascii="inherit" w:eastAsia="Times New Roman" w:hAnsi="inherit" w:cs="Times New Roman"/>
          <w:sz w:val="20"/>
          <w:szCs w:val="20"/>
          <w:bdr w:val="none" w:sz="0" w:space="0" w:color="auto" w:frame="1"/>
          <w:lang w:eastAsia="en-GB"/>
        </w:rPr>
        <w:t>, </w:t>
      </w:r>
      <w:hyperlink r:id="rId6" w:history="1">
        <w:r w:rsidRPr="004A31BA">
          <w:rPr>
            <w:rFonts w:ascii="inherit" w:eastAsia="Times New Roman" w:hAnsi="inherit" w:cs="Times New Roman"/>
            <w:color w:val="0000FF"/>
            <w:sz w:val="20"/>
            <w:szCs w:val="20"/>
            <w:bdr w:val="none" w:sz="0" w:space="0" w:color="auto" w:frame="1"/>
            <w:lang w:eastAsia="en-GB"/>
          </w:rPr>
          <w:t>Фискални рачун</w:t>
        </w:r>
      </w:hyperlink>
    </w:p>
    <w:p w:rsidR="004A31BA" w:rsidRPr="004A31BA" w:rsidRDefault="004A31BA" w:rsidP="004A31BA">
      <w:pPr>
        <w:shd w:val="clear" w:color="auto" w:fill="FFFFFF"/>
        <w:spacing w:after="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„Службени гласник РС“, бр. </w:t>
      </w:r>
      <w:hyperlink r:id="rId7" w:history="1">
        <w:r w:rsidRPr="004A31BA">
          <w:rPr>
            <w:rFonts w:ascii="inherit" w:eastAsia="Times New Roman" w:hAnsi="inherit" w:cs="Helvetica"/>
            <w:b/>
            <w:bCs/>
            <w:color w:val="D23232"/>
            <w:sz w:val="27"/>
            <w:szCs w:val="27"/>
            <w:u w:val="single"/>
            <w:bdr w:val="none" w:sz="0" w:space="0" w:color="auto" w:frame="1"/>
            <w:lang w:eastAsia="en-GB"/>
          </w:rPr>
          <w:t>31/2021</w:t>
        </w:r>
      </w:hyperlink>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1.</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Овим правилником уређују се врсте фискалних рачуна, типови трансакција, начини плаћања, позивање на број другог фискалног рачуна, односно другог релевантног документа и појединости осталих елемената фискалног рачуна из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Закона о фискализацији („Службени гласник РС”, број 153/20 – у даљем тексту: Закон).</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2.</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Обвезник фискализације, преко електронског фискалног уређаја, као податак о врсти фискалног рачуна,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 Закона, на фискалном рачуну, наводи један од следећих података: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1) </w:t>
      </w:r>
      <w:proofErr w:type="gramStart"/>
      <w:r w:rsidRPr="004A31BA">
        <w:rPr>
          <w:rFonts w:ascii="inherit" w:eastAsia="Times New Roman" w:hAnsi="inherit" w:cs="Helvetica"/>
          <w:color w:val="333333"/>
          <w:sz w:val="27"/>
          <w:szCs w:val="27"/>
          <w:lang w:eastAsia="en-GB"/>
        </w:rPr>
        <w:t>промет</w:t>
      </w:r>
      <w:proofErr w:type="gramEnd"/>
      <w:r w:rsidRPr="004A31BA">
        <w:rPr>
          <w:rFonts w:ascii="inherit" w:eastAsia="Times New Roman" w:hAnsi="inherit" w:cs="Helvetica"/>
          <w:color w:val="333333"/>
          <w:sz w:val="27"/>
          <w:szCs w:val="27"/>
          <w:lang w:eastAsia="en-GB"/>
        </w:rPr>
        <w:t>;</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2) </w:t>
      </w:r>
      <w:proofErr w:type="gramStart"/>
      <w:r w:rsidRPr="004A31BA">
        <w:rPr>
          <w:rFonts w:ascii="inherit" w:eastAsia="Times New Roman" w:hAnsi="inherit" w:cs="Helvetica"/>
          <w:color w:val="333333"/>
          <w:sz w:val="27"/>
          <w:szCs w:val="27"/>
          <w:lang w:eastAsia="en-GB"/>
        </w:rPr>
        <w:t>аванс</w:t>
      </w:r>
      <w:proofErr w:type="gramEnd"/>
      <w:r w:rsidRPr="004A31BA">
        <w:rPr>
          <w:rFonts w:ascii="inherit" w:eastAsia="Times New Roman" w:hAnsi="inherit" w:cs="Helvetica"/>
          <w:color w:val="333333"/>
          <w:sz w:val="27"/>
          <w:szCs w:val="27"/>
          <w:lang w:eastAsia="en-GB"/>
        </w:rPr>
        <w:t>.</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Рачуном за промет, у смислу става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 овог члана, сматра се фискални рачун који се издаје ради евидентирања оствареног промета добра и услуга на мало (у даљем тексту: промет на мало).</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Рачуном за аванс, у смислу става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2) овог члана, сматра се фискални рачун који се издаје ради евидентирања примљеног аванса за будући промет на мало.</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Обвезник фискализације, преко електронског фискалног уређаја, може издати и следећа фискална документа, која се не сматрају фискалним рачунима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Закона: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lastRenderedPageBreak/>
        <w:t xml:space="preserve">1) </w:t>
      </w:r>
      <w:proofErr w:type="gramStart"/>
      <w:r w:rsidRPr="004A31BA">
        <w:rPr>
          <w:rFonts w:ascii="inherit" w:eastAsia="Times New Roman" w:hAnsi="inherit" w:cs="Helvetica"/>
          <w:color w:val="333333"/>
          <w:sz w:val="27"/>
          <w:szCs w:val="27"/>
          <w:lang w:eastAsia="en-GB"/>
        </w:rPr>
        <w:t>копија</w:t>
      </w:r>
      <w:proofErr w:type="gramEnd"/>
      <w:r w:rsidRPr="004A31BA">
        <w:rPr>
          <w:rFonts w:ascii="inherit" w:eastAsia="Times New Roman" w:hAnsi="inherit" w:cs="Helvetica"/>
          <w:color w:val="333333"/>
          <w:sz w:val="27"/>
          <w:szCs w:val="27"/>
          <w:lang w:eastAsia="en-GB"/>
        </w:rPr>
        <w:t xml:space="preserve"> рачуна;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2) </w:t>
      </w:r>
      <w:proofErr w:type="gramStart"/>
      <w:r w:rsidRPr="004A31BA">
        <w:rPr>
          <w:rFonts w:ascii="inherit" w:eastAsia="Times New Roman" w:hAnsi="inherit" w:cs="Helvetica"/>
          <w:color w:val="333333"/>
          <w:sz w:val="27"/>
          <w:szCs w:val="27"/>
          <w:lang w:eastAsia="en-GB"/>
        </w:rPr>
        <w:t>рачун</w:t>
      </w:r>
      <w:proofErr w:type="gramEnd"/>
      <w:r w:rsidRPr="004A31BA">
        <w:rPr>
          <w:rFonts w:ascii="inherit" w:eastAsia="Times New Roman" w:hAnsi="inherit" w:cs="Helvetica"/>
          <w:color w:val="333333"/>
          <w:sz w:val="27"/>
          <w:szCs w:val="27"/>
          <w:lang w:eastAsia="en-GB"/>
        </w:rPr>
        <w:t xml:space="preserve"> обуке;</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3) </w:t>
      </w:r>
      <w:proofErr w:type="gramStart"/>
      <w:r w:rsidRPr="004A31BA">
        <w:rPr>
          <w:rFonts w:ascii="inherit" w:eastAsia="Times New Roman" w:hAnsi="inherit" w:cs="Helvetica"/>
          <w:color w:val="333333"/>
          <w:sz w:val="27"/>
          <w:szCs w:val="27"/>
          <w:lang w:eastAsia="en-GB"/>
        </w:rPr>
        <w:t>предрачун</w:t>
      </w:r>
      <w:proofErr w:type="gramEnd"/>
      <w:r w:rsidRPr="004A31BA">
        <w:rPr>
          <w:rFonts w:ascii="inherit" w:eastAsia="Times New Roman" w:hAnsi="inherit" w:cs="Helvetica"/>
          <w:color w:val="333333"/>
          <w:sz w:val="27"/>
          <w:szCs w:val="27"/>
          <w:lang w:eastAsia="en-GB"/>
        </w:rPr>
        <w:t>.</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Копијом рачуна, у смислу става 4. тачка 1) овог члана, сматра се копија рачуна за промет или копија рачуна за аванс, а која се издаје истовремено са издавањем рачуна за промет, односно рачуна за аванс или се издаје, односно преузима накнадно, за потребе обвезника фискализације или купца добара, односно корисника услуга.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Рачуном обуке, у смислу става 4.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2) овог члана, сматра се фискални документ издат у сврхе обуке особља обвезника фискализације, тестирања електронског фискалног уређаја или у друге сврхе, којим се не врши евидентирање промета на мало, односно примљеног аванса за промет на мало.</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Предрачуном, у смислу става 4. тачка 3) овог члана, сматра се фискални документ који се издаје пре оствареног промета на мало и пре примљеног аванса за будући промет на мало, ради обавештавања купца добара, односно корисника услуга о подацима од значаја за будући промет на мало, односно будући примљени аванс за промет на мало.</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Фискални документи из става 4. </w:t>
      </w:r>
      <w:proofErr w:type="gramStart"/>
      <w:r w:rsidRPr="004A31BA">
        <w:rPr>
          <w:rFonts w:ascii="inherit" w:eastAsia="Times New Roman" w:hAnsi="inherit" w:cs="Helvetica"/>
          <w:color w:val="333333"/>
          <w:sz w:val="27"/>
          <w:szCs w:val="27"/>
          <w:lang w:eastAsia="en-GB"/>
        </w:rPr>
        <w:t>тач</w:t>
      </w:r>
      <w:proofErr w:type="gramEnd"/>
      <w:r w:rsidRPr="004A31BA">
        <w:rPr>
          <w:rFonts w:ascii="inherit" w:eastAsia="Times New Roman" w:hAnsi="inherit" w:cs="Helvetica"/>
          <w:color w:val="333333"/>
          <w:sz w:val="27"/>
          <w:szCs w:val="27"/>
          <w:lang w:eastAsia="en-GB"/>
        </w:rPr>
        <w:t xml:space="preserve">. </w:t>
      </w:r>
      <w:proofErr w:type="gramStart"/>
      <w:r w:rsidRPr="004A31BA">
        <w:rPr>
          <w:rFonts w:ascii="inherit" w:eastAsia="Times New Roman" w:hAnsi="inherit" w:cs="Helvetica"/>
          <w:color w:val="333333"/>
          <w:sz w:val="27"/>
          <w:szCs w:val="27"/>
          <w:lang w:eastAsia="en-GB"/>
        </w:rPr>
        <w:t>1)−</w:t>
      </w:r>
      <w:proofErr w:type="gramEnd"/>
      <w:r w:rsidRPr="004A31BA">
        <w:rPr>
          <w:rFonts w:ascii="inherit" w:eastAsia="Times New Roman" w:hAnsi="inherit" w:cs="Helvetica"/>
          <w:color w:val="333333"/>
          <w:sz w:val="27"/>
          <w:szCs w:val="27"/>
          <w:lang w:eastAsia="en-GB"/>
        </w:rPr>
        <w:t xml:space="preserve">3) овог члана морају да се визуелно јасно разликују од фискалних рачуна из става 1. </w:t>
      </w:r>
      <w:proofErr w:type="gramStart"/>
      <w:r w:rsidRPr="004A31BA">
        <w:rPr>
          <w:rFonts w:ascii="inherit" w:eastAsia="Times New Roman" w:hAnsi="inherit" w:cs="Helvetica"/>
          <w:color w:val="333333"/>
          <w:sz w:val="27"/>
          <w:szCs w:val="27"/>
          <w:lang w:eastAsia="en-GB"/>
        </w:rPr>
        <w:t>тач</w:t>
      </w:r>
      <w:proofErr w:type="gramEnd"/>
      <w:r w:rsidRPr="004A31BA">
        <w:rPr>
          <w:rFonts w:ascii="inherit" w:eastAsia="Times New Roman" w:hAnsi="inherit" w:cs="Helvetica"/>
          <w:color w:val="333333"/>
          <w:sz w:val="27"/>
          <w:szCs w:val="27"/>
          <w:lang w:eastAsia="en-GB"/>
        </w:rPr>
        <w:t xml:space="preserve">. 1) </w:t>
      </w:r>
      <w:proofErr w:type="gramStart"/>
      <w:r w:rsidRPr="004A31BA">
        <w:rPr>
          <w:rFonts w:ascii="inherit" w:eastAsia="Times New Roman" w:hAnsi="inherit" w:cs="Helvetica"/>
          <w:color w:val="333333"/>
          <w:sz w:val="27"/>
          <w:szCs w:val="27"/>
          <w:lang w:eastAsia="en-GB"/>
        </w:rPr>
        <w:t>и</w:t>
      </w:r>
      <w:proofErr w:type="gramEnd"/>
      <w:r w:rsidRPr="004A31BA">
        <w:rPr>
          <w:rFonts w:ascii="inherit" w:eastAsia="Times New Roman" w:hAnsi="inherit" w:cs="Helvetica"/>
          <w:color w:val="333333"/>
          <w:sz w:val="27"/>
          <w:szCs w:val="27"/>
          <w:lang w:eastAsia="en-GB"/>
        </w:rPr>
        <w:t xml:space="preserve"> 2) овог члана, независно од начина издавања у складу са одредбом члана 10.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правилника, тако што ће садржати следеће напомене:</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1) „КОПИЈА” за фискални документ из става 4.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 овог члана;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2) „ОБУКА” за фискални документ из става 4.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2) овог члана;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3) „ПРЕДРАЧУН” за фискални документ из става 4.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3) овог члана;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4) „ОВО НИЈЕ ФИСКАЛНИ РАЧУН” за фискалне документе из става 4. </w:t>
      </w:r>
      <w:proofErr w:type="gramStart"/>
      <w:r w:rsidRPr="004A31BA">
        <w:rPr>
          <w:rFonts w:ascii="inherit" w:eastAsia="Times New Roman" w:hAnsi="inherit" w:cs="Helvetica"/>
          <w:color w:val="333333"/>
          <w:sz w:val="27"/>
          <w:szCs w:val="27"/>
          <w:lang w:eastAsia="en-GB"/>
        </w:rPr>
        <w:t>тач</w:t>
      </w:r>
      <w:proofErr w:type="gramEnd"/>
      <w:r w:rsidRPr="004A31BA">
        <w:rPr>
          <w:rFonts w:ascii="inherit" w:eastAsia="Times New Roman" w:hAnsi="inherit" w:cs="Helvetica"/>
          <w:color w:val="333333"/>
          <w:sz w:val="27"/>
          <w:szCs w:val="27"/>
          <w:lang w:eastAsia="en-GB"/>
        </w:rPr>
        <w:t xml:space="preserve">. </w:t>
      </w:r>
      <w:proofErr w:type="gramStart"/>
      <w:r w:rsidRPr="004A31BA">
        <w:rPr>
          <w:rFonts w:ascii="inherit" w:eastAsia="Times New Roman" w:hAnsi="inherit" w:cs="Helvetica"/>
          <w:color w:val="333333"/>
          <w:sz w:val="27"/>
          <w:szCs w:val="27"/>
          <w:lang w:eastAsia="en-GB"/>
        </w:rPr>
        <w:t>1)−</w:t>
      </w:r>
      <w:proofErr w:type="gramEnd"/>
      <w:r w:rsidRPr="004A31BA">
        <w:rPr>
          <w:rFonts w:ascii="inherit" w:eastAsia="Times New Roman" w:hAnsi="inherit" w:cs="Helvetica"/>
          <w:color w:val="333333"/>
          <w:sz w:val="27"/>
          <w:szCs w:val="27"/>
          <w:lang w:eastAsia="en-GB"/>
        </w:rPr>
        <w:t>3) овог члана.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Напомена из става 8.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 мора бити написана на фискалном документу на такав начин да се не може изменити или обрисати, и то </w:t>
      </w:r>
      <w:r w:rsidRPr="004A31BA">
        <w:rPr>
          <w:rFonts w:ascii="inherit" w:eastAsia="Times New Roman" w:hAnsi="inherit" w:cs="Helvetica"/>
          <w:color w:val="333333"/>
          <w:sz w:val="27"/>
          <w:szCs w:val="27"/>
          <w:lang w:eastAsia="en-GB"/>
        </w:rPr>
        <w:lastRenderedPageBreak/>
        <w:t>величином фонта која је најмање двоструко већа од текста којим се приказују остали подаци на фискалном документу.</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Фискални документи из става 4. </w:t>
      </w:r>
      <w:proofErr w:type="gramStart"/>
      <w:r w:rsidRPr="004A31BA">
        <w:rPr>
          <w:rFonts w:ascii="inherit" w:eastAsia="Times New Roman" w:hAnsi="inherit" w:cs="Helvetica"/>
          <w:color w:val="333333"/>
          <w:sz w:val="27"/>
          <w:szCs w:val="27"/>
          <w:lang w:eastAsia="en-GB"/>
        </w:rPr>
        <w:t>тач</w:t>
      </w:r>
      <w:proofErr w:type="gramEnd"/>
      <w:r w:rsidRPr="004A31BA">
        <w:rPr>
          <w:rFonts w:ascii="inherit" w:eastAsia="Times New Roman" w:hAnsi="inherit" w:cs="Helvetica"/>
          <w:color w:val="333333"/>
          <w:sz w:val="27"/>
          <w:szCs w:val="27"/>
          <w:lang w:eastAsia="en-GB"/>
        </w:rPr>
        <w:t xml:space="preserve">. 1) </w:t>
      </w:r>
      <w:proofErr w:type="gramStart"/>
      <w:r w:rsidRPr="004A31BA">
        <w:rPr>
          <w:rFonts w:ascii="inherit" w:eastAsia="Times New Roman" w:hAnsi="inherit" w:cs="Helvetica"/>
          <w:color w:val="333333"/>
          <w:sz w:val="27"/>
          <w:szCs w:val="27"/>
          <w:lang w:eastAsia="en-GB"/>
        </w:rPr>
        <w:t>и</w:t>
      </w:r>
      <w:proofErr w:type="gramEnd"/>
      <w:r w:rsidRPr="004A31BA">
        <w:rPr>
          <w:rFonts w:ascii="inherit" w:eastAsia="Times New Roman" w:hAnsi="inherit" w:cs="Helvetica"/>
          <w:color w:val="333333"/>
          <w:sz w:val="27"/>
          <w:szCs w:val="27"/>
          <w:lang w:eastAsia="en-GB"/>
        </w:rPr>
        <w:t xml:space="preserve"> 3) овог члана се не сматрају фискалним рачуном којим се потврђује да је појединачно остварени промет на мало, укључујући и примљени аванс за будући промет на мало, евидентиран у електронском фискалном уређају.</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3.</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Обвезник фискализације, преко електронског фискалног уређаја, као податак о типу трансакције,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2) Закона, на фискалном рачуну наводи један од следећих података: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1) </w:t>
      </w:r>
      <w:proofErr w:type="gramStart"/>
      <w:r w:rsidRPr="004A31BA">
        <w:rPr>
          <w:rFonts w:ascii="inherit" w:eastAsia="Times New Roman" w:hAnsi="inherit" w:cs="Helvetica"/>
          <w:color w:val="333333"/>
          <w:sz w:val="27"/>
          <w:szCs w:val="27"/>
          <w:lang w:eastAsia="en-GB"/>
        </w:rPr>
        <w:t>продаја</w:t>
      </w:r>
      <w:proofErr w:type="gramEnd"/>
      <w:r w:rsidRPr="004A31BA">
        <w:rPr>
          <w:rFonts w:ascii="inherit" w:eastAsia="Times New Roman" w:hAnsi="inherit" w:cs="Helvetica"/>
          <w:color w:val="333333"/>
          <w:sz w:val="27"/>
          <w:szCs w:val="27"/>
          <w:lang w:eastAsia="en-GB"/>
        </w:rPr>
        <w:t>;</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2) </w:t>
      </w:r>
      <w:proofErr w:type="gramStart"/>
      <w:r w:rsidRPr="004A31BA">
        <w:rPr>
          <w:rFonts w:ascii="inherit" w:eastAsia="Times New Roman" w:hAnsi="inherit" w:cs="Helvetica"/>
          <w:color w:val="333333"/>
          <w:sz w:val="27"/>
          <w:szCs w:val="27"/>
          <w:lang w:eastAsia="en-GB"/>
        </w:rPr>
        <w:t>рефундација</w:t>
      </w:r>
      <w:proofErr w:type="gramEnd"/>
      <w:r w:rsidRPr="004A31BA">
        <w:rPr>
          <w:rFonts w:ascii="inherit" w:eastAsia="Times New Roman" w:hAnsi="inherit" w:cs="Helvetica"/>
          <w:color w:val="333333"/>
          <w:sz w:val="27"/>
          <w:szCs w:val="27"/>
          <w:lang w:eastAsia="en-GB"/>
        </w:rPr>
        <w:t>, односно поништавање рачуна.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Продајом, у смислу става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 овог члана, сматра се тип трансакције који подразумева промет на мало, укључујући и примљени аванс за будући промет на мало.</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Рефундацијом, у смислу става 1. </w:t>
      </w:r>
      <w:proofErr w:type="gramStart"/>
      <w:r w:rsidRPr="004A31BA">
        <w:rPr>
          <w:rFonts w:ascii="inherit" w:eastAsia="Times New Roman" w:hAnsi="inherit" w:cs="Helvetica"/>
          <w:color w:val="333333"/>
          <w:sz w:val="27"/>
          <w:szCs w:val="27"/>
          <w:lang w:eastAsia="en-GB"/>
        </w:rPr>
        <w:t>тачка 2) овог члана, сматра се тип трансакције који подразумева повраћај уплате или дела уплате за промет на мало или повраћај целог или дела аванса за будући промет на мало, из било ког разлога, као и тип трансакције који подразумева враћање и замену добара испоручених купцу добара, из било ког разлога као и повраћај ПДВ-а купцу – путнику који у Републици Србији нема пребивалиште, ни боравиште, у складу са прописима којима се уређује такав повраћај ПДВ-а.</w:t>
      </w:r>
      <w:proofErr w:type="gramEnd"/>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Поништавањем рачуна, у смислу става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2) овог члана, сматра се тип трансакције који подразумева исправљање грешке у издавању фискалног рачуна, а који се не може сматрати рефундацијом у смислу става 3.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У случају рефундације која подразумева повраћај ПДВ-а купцу – путнику из става 3.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 у фискалном рачуну се наводи износ ПДВ-а који је враћен путнику.</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4.</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lastRenderedPageBreak/>
        <w:t xml:space="preserve">Обвезник фискализације, преко електронског фискалног уређаја, у оквиру податка о називу прометованог добра, односно пружене услуге,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6) Закона, на фискалном рачуну може навести и глобални број трговинске јединице (GTIN) или други број који се користи за јединствену идентификацију трговинских јединица (добара или услуга) у складу са прописима којима се регулише област трговине.</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5.</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Електронски фискални уређај обвезника фискализације добија податке о пореским стопама које су од значаја за податке из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w:t>
      </w:r>
      <w:proofErr w:type="gramEnd"/>
      <w:r w:rsidRPr="004A31BA">
        <w:rPr>
          <w:rFonts w:ascii="inherit" w:eastAsia="Times New Roman" w:hAnsi="inherit" w:cs="Helvetica"/>
          <w:color w:val="333333"/>
          <w:sz w:val="27"/>
          <w:szCs w:val="27"/>
          <w:lang w:eastAsia="en-GB"/>
        </w:rPr>
        <w:t xml:space="preserve">. </w:t>
      </w:r>
      <w:proofErr w:type="gramStart"/>
      <w:r w:rsidRPr="004A31BA">
        <w:rPr>
          <w:rFonts w:ascii="inherit" w:eastAsia="Times New Roman" w:hAnsi="inherit" w:cs="Helvetica"/>
          <w:color w:val="333333"/>
          <w:sz w:val="27"/>
          <w:szCs w:val="27"/>
          <w:lang w:eastAsia="en-GB"/>
        </w:rPr>
        <w:t>6)−</w:t>
      </w:r>
      <w:proofErr w:type="gramEnd"/>
      <w:r w:rsidRPr="004A31BA">
        <w:rPr>
          <w:rFonts w:ascii="inherit" w:eastAsia="Times New Roman" w:hAnsi="inherit" w:cs="Helvetica"/>
          <w:color w:val="333333"/>
          <w:sz w:val="27"/>
          <w:szCs w:val="27"/>
          <w:lang w:eastAsia="en-GB"/>
        </w:rPr>
        <w:t>10) Закона из Система за управљање фискализацијом.</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Систем за управљање фискализацијом дефинише ознаке за пореске стопе које се користе, администрира претходно дефинисане пореске стопе, одређује датуме за промену пореских стопа и примењује измене пореских стопа.</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6.</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Обвезник фискализације, преко електронског фискалног уређаја, у оквиру податка о начину плаћања,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11) Закона, на фискалном рачуну наводи један од следећих података, зависно од средства плаћања којим купац, односно корисник услуга плаћа испоручена добра, односно пружене услуге:</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1) „</w:t>
      </w:r>
      <w:proofErr w:type="gramStart"/>
      <w:r w:rsidRPr="004A31BA">
        <w:rPr>
          <w:rFonts w:ascii="inherit" w:eastAsia="Times New Roman" w:hAnsi="inherit" w:cs="Helvetica"/>
          <w:color w:val="333333"/>
          <w:sz w:val="27"/>
          <w:szCs w:val="27"/>
          <w:lang w:eastAsia="en-GB"/>
        </w:rPr>
        <w:t>готовина</w:t>
      </w:r>
      <w:proofErr w:type="gramEnd"/>
      <w:r w:rsidRPr="004A31BA">
        <w:rPr>
          <w:rFonts w:ascii="inherit" w:eastAsia="Times New Roman" w:hAnsi="inherit" w:cs="Helvetica"/>
          <w:color w:val="333333"/>
          <w:sz w:val="27"/>
          <w:szCs w:val="27"/>
          <w:lang w:eastAsia="en-GB"/>
        </w:rPr>
        <w:t>” – ако се плаћање врши готовим новцем (новчаницама и кованим новцем);</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2) „</w:t>
      </w:r>
      <w:proofErr w:type="gramStart"/>
      <w:r w:rsidRPr="004A31BA">
        <w:rPr>
          <w:rFonts w:ascii="inherit" w:eastAsia="Times New Roman" w:hAnsi="inherit" w:cs="Helvetica"/>
          <w:color w:val="333333"/>
          <w:sz w:val="27"/>
          <w:szCs w:val="27"/>
          <w:lang w:eastAsia="en-GB"/>
        </w:rPr>
        <w:t>инстант</w:t>
      </w:r>
      <w:proofErr w:type="gramEnd"/>
      <w:r w:rsidRPr="004A31BA">
        <w:rPr>
          <w:rFonts w:ascii="inherit" w:eastAsia="Times New Roman" w:hAnsi="inherit" w:cs="Helvetica"/>
          <w:color w:val="333333"/>
          <w:sz w:val="27"/>
          <w:szCs w:val="27"/>
          <w:lang w:eastAsia="en-GB"/>
        </w:rPr>
        <w:t xml:space="preserve"> плаћање” – ако се плаћање врши инстант трансфером одобрења на продајном месту”;</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3) „</w:t>
      </w:r>
      <w:proofErr w:type="gramStart"/>
      <w:r w:rsidRPr="004A31BA">
        <w:rPr>
          <w:rFonts w:ascii="inherit" w:eastAsia="Times New Roman" w:hAnsi="inherit" w:cs="Helvetica"/>
          <w:color w:val="333333"/>
          <w:sz w:val="27"/>
          <w:szCs w:val="27"/>
          <w:lang w:eastAsia="en-GB"/>
        </w:rPr>
        <w:t>платна</w:t>
      </w:r>
      <w:proofErr w:type="gramEnd"/>
      <w:r w:rsidRPr="004A31BA">
        <w:rPr>
          <w:rFonts w:ascii="inherit" w:eastAsia="Times New Roman" w:hAnsi="inherit" w:cs="Helvetica"/>
          <w:color w:val="333333"/>
          <w:sz w:val="27"/>
          <w:szCs w:val="27"/>
          <w:lang w:eastAsia="en-GB"/>
        </w:rPr>
        <w:t xml:space="preserve"> картица” – ако се плаћање врши платном картицом;</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4) „</w:t>
      </w:r>
      <w:proofErr w:type="gramStart"/>
      <w:r w:rsidRPr="004A31BA">
        <w:rPr>
          <w:rFonts w:ascii="inherit" w:eastAsia="Times New Roman" w:hAnsi="inherit" w:cs="Helvetica"/>
          <w:color w:val="333333"/>
          <w:sz w:val="27"/>
          <w:szCs w:val="27"/>
          <w:lang w:eastAsia="en-GB"/>
        </w:rPr>
        <w:t>чек</w:t>
      </w:r>
      <w:proofErr w:type="gramEnd"/>
      <w:r w:rsidRPr="004A31BA">
        <w:rPr>
          <w:rFonts w:ascii="inherit" w:eastAsia="Times New Roman" w:hAnsi="inherit" w:cs="Helvetica"/>
          <w:color w:val="333333"/>
          <w:sz w:val="27"/>
          <w:szCs w:val="27"/>
          <w:lang w:eastAsia="en-GB"/>
        </w:rPr>
        <w:t>” – ако се плаћање врши чеком;</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5) „</w:t>
      </w:r>
      <w:proofErr w:type="gramStart"/>
      <w:r w:rsidRPr="004A31BA">
        <w:rPr>
          <w:rFonts w:ascii="inherit" w:eastAsia="Times New Roman" w:hAnsi="inherit" w:cs="Helvetica"/>
          <w:color w:val="333333"/>
          <w:sz w:val="27"/>
          <w:szCs w:val="27"/>
          <w:lang w:eastAsia="en-GB"/>
        </w:rPr>
        <w:t>пренос</w:t>
      </w:r>
      <w:proofErr w:type="gramEnd"/>
      <w:r w:rsidRPr="004A31BA">
        <w:rPr>
          <w:rFonts w:ascii="inherit" w:eastAsia="Times New Roman" w:hAnsi="inherit" w:cs="Helvetica"/>
          <w:color w:val="333333"/>
          <w:sz w:val="27"/>
          <w:szCs w:val="27"/>
          <w:lang w:eastAsia="en-GB"/>
        </w:rPr>
        <w:t xml:space="preserve"> на рачун” – ако се плаћање врши налогом за уплату или налогом за пренос;</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6) „</w:t>
      </w:r>
      <w:proofErr w:type="gramStart"/>
      <w:r w:rsidRPr="004A31BA">
        <w:rPr>
          <w:rFonts w:ascii="inherit" w:eastAsia="Times New Roman" w:hAnsi="inherit" w:cs="Helvetica"/>
          <w:color w:val="333333"/>
          <w:sz w:val="27"/>
          <w:szCs w:val="27"/>
          <w:lang w:eastAsia="en-GB"/>
        </w:rPr>
        <w:t>ваучер</w:t>
      </w:r>
      <w:proofErr w:type="gramEnd"/>
      <w:r w:rsidRPr="004A31BA">
        <w:rPr>
          <w:rFonts w:ascii="inherit" w:eastAsia="Times New Roman" w:hAnsi="inherit" w:cs="Helvetica"/>
          <w:color w:val="333333"/>
          <w:sz w:val="27"/>
          <w:szCs w:val="27"/>
          <w:lang w:eastAsia="en-GB"/>
        </w:rPr>
        <w:t>” – ако се плаћање врши ваучером, новчаним боновима, интерним картицама или сличним средством плаћања;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lastRenderedPageBreak/>
        <w:t>7) „</w:t>
      </w:r>
      <w:proofErr w:type="gramStart"/>
      <w:r w:rsidRPr="004A31BA">
        <w:rPr>
          <w:rFonts w:ascii="inherit" w:eastAsia="Times New Roman" w:hAnsi="inherit" w:cs="Helvetica"/>
          <w:color w:val="333333"/>
          <w:sz w:val="27"/>
          <w:szCs w:val="27"/>
          <w:lang w:eastAsia="en-GB"/>
        </w:rPr>
        <w:t>друго</w:t>
      </w:r>
      <w:proofErr w:type="gramEnd"/>
      <w:r w:rsidRPr="004A31BA">
        <w:rPr>
          <w:rFonts w:ascii="inherit" w:eastAsia="Times New Roman" w:hAnsi="inherit" w:cs="Helvetica"/>
          <w:color w:val="333333"/>
          <w:sz w:val="27"/>
          <w:szCs w:val="27"/>
          <w:lang w:eastAsia="en-GB"/>
        </w:rPr>
        <w:t xml:space="preserve"> безготовинско плаћање” – ако се плаћање врши безготовински другим средством плаћања које се сматра дозвољеним у Републици Србији, у складу са законом.</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У случају да купац, односно корисник услуга, испоручена добра, односно пружене услуге плаћа користећи више од једног начина плаћања, обвезник фискализације, преко електронског фискалног уређаја, у оквиру податка о начину плаћања,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11) Закона, на фискалном рачуну може навести и више података из става 1.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 при чему је у обавези да искаже и плаћене износе подељене по појединачним начинима плаћања.</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7.</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Обвезник фискализације, преко електронског фискалног уређаја, податке о дану, месецу, години, сату, минути и секунди сачињавања фискалног рачуна из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тачка 12) Закона, на фискалном рачуну исказује у 24-сатном формату, тј. </w:t>
      </w:r>
      <w:proofErr w:type="gramStart"/>
      <w:r w:rsidRPr="004A31BA">
        <w:rPr>
          <w:rFonts w:ascii="inherit" w:eastAsia="Times New Roman" w:hAnsi="inherit" w:cs="Helvetica"/>
          <w:color w:val="333333"/>
          <w:sz w:val="27"/>
          <w:szCs w:val="27"/>
          <w:lang w:eastAsia="en-GB"/>
        </w:rPr>
        <w:t>dd.mm.yyyy</w:t>
      </w:r>
      <w:proofErr w:type="gramEnd"/>
      <w:r w:rsidRPr="004A31BA">
        <w:rPr>
          <w:rFonts w:ascii="inherit" w:eastAsia="Times New Roman" w:hAnsi="inherit" w:cs="Helvetica"/>
          <w:color w:val="333333"/>
          <w:sz w:val="27"/>
          <w:szCs w:val="27"/>
          <w:lang w:eastAsia="en-GB"/>
        </w:rPr>
        <w:t xml:space="preserve"> HH:mm:ss.</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8.</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Јединствени редни број фискалног рачуна,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тачка 13) Закона, мора да омогући разликовање фискалног рачуна у односу на све остале фискалне рачуне које је издао обвезник фискализације, а који означава издаваоца и локацију са које се издаје рачун преко електронског фискалног уређаја, независно од врсте рачуна из члана 2.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правилника и типа трансакције из члана 3.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правилника.</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9.</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Поред јединственог редног броја фискалног рачуна из члана 8.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правилника, обвезник фискализације, преко електронског фискалног уређаја, на фискалном рачуну исказује и следећа два одвојена податка,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тачка 14) Закона, и то:</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1) </w:t>
      </w:r>
      <w:proofErr w:type="gramStart"/>
      <w:r w:rsidRPr="004A31BA">
        <w:rPr>
          <w:rFonts w:ascii="inherit" w:eastAsia="Times New Roman" w:hAnsi="inherit" w:cs="Helvetica"/>
          <w:color w:val="333333"/>
          <w:sz w:val="27"/>
          <w:szCs w:val="27"/>
          <w:lang w:eastAsia="en-GB"/>
        </w:rPr>
        <w:t>јединствени</w:t>
      </w:r>
      <w:proofErr w:type="gramEnd"/>
      <w:r w:rsidRPr="004A31BA">
        <w:rPr>
          <w:rFonts w:ascii="inherit" w:eastAsia="Times New Roman" w:hAnsi="inherit" w:cs="Helvetica"/>
          <w:color w:val="333333"/>
          <w:sz w:val="27"/>
          <w:szCs w:val="27"/>
          <w:lang w:eastAsia="en-GB"/>
        </w:rPr>
        <w:t xml:space="preserve"> редни број фискалног рачуна по врсти рачуна, а који мора да омогући разликовање одређеног фискалног рачуна у односу на све остале фискалне рачуне те врсте, у смислу члана 2.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правилника, које је издао обвезник фискализације, преко електронског фискалног уређаја, независно од типа трансакције из члана 3.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правилника;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2) </w:t>
      </w:r>
      <w:proofErr w:type="gramStart"/>
      <w:r w:rsidRPr="004A31BA">
        <w:rPr>
          <w:rFonts w:ascii="inherit" w:eastAsia="Times New Roman" w:hAnsi="inherit" w:cs="Helvetica"/>
          <w:color w:val="333333"/>
          <w:sz w:val="27"/>
          <w:szCs w:val="27"/>
          <w:lang w:eastAsia="en-GB"/>
        </w:rPr>
        <w:t>јединствени</w:t>
      </w:r>
      <w:proofErr w:type="gramEnd"/>
      <w:r w:rsidRPr="004A31BA">
        <w:rPr>
          <w:rFonts w:ascii="inherit" w:eastAsia="Times New Roman" w:hAnsi="inherit" w:cs="Helvetica"/>
          <w:color w:val="333333"/>
          <w:sz w:val="27"/>
          <w:szCs w:val="27"/>
          <w:lang w:eastAsia="en-GB"/>
        </w:rPr>
        <w:t xml:space="preserve"> редни број фискалног рачуна по типу трансакције, а који мора да омогући разликовање одређеног фискалног рачуна у односу на све остале фискалне рачуне који се односе на тај тип трансакције, у смислу члана 3.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w:t>
      </w:r>
      <w:r w:rsidRPr="004A31BA">
        <w:rPr>
          <w:rFonts w:ascii="inherit" w:eastAsia="Times New Roman" w:hAnsi="inherit" w:cs="Helvetica"/>
          <w:color w:val="333333"/>
          <w:sz w:val="27"/>
          <w:szCs w:val="27"/>
          <w:lang w:eastAsia="en-GB"/>
        </w:rPr>
        <w:lastRenderedPageBreak/>
        <w:t xml:space="preserve">правилника, које је издао обвезник фискализације, преко електронског фискалног уређаја, независно од врсте рачуна из члана 2.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правилника.</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10.</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Када се фискални рачун издаје у штампаној форми, обвезник фискализације, преко електронског фискалног уређаја, на фискалном рачуну исказује дводимензионални бар-кôд (енг. QR – Quick Response – у даљем тексту: QR кôд),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15) Закона, који садржи све елементе електронског потписа и који не сме бити исписан на слици или логу, нити садржати слику или лого.</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QR кôд је квадратног облика, димензија не мањих од 40 mm x 40 mm и не већих од 50 mm x 50 mm.</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Пример QR кôда из става 2.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 одштампан је уз овај правилник и чини његов саставни део (Прилог – QR кôд).</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Када се фискални рачун издаје у електронској форми, обвезник фискализације, преко електронског фискалног уређаја, на фискалном рачуну исказује хиперлинк за верификацију,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15) Закона, којем се може приступити преко свих уређаја који имају приступ интернету.</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QR кôд из става 1.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 и хиперлинк за верификацију из става 4.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 се користе за проверу фискалног рачуна, у складу са чланом 10.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Закона.</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11.</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Обвезник фискализације, преко електронског фискалног уређаја, на фискалном рачуну исказује позив на број другог фискалног рачуна, односно релевантног документа,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16) Закона, у случају:</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1) </w:t>
      </w:r>
      <w:proofErr w:type="gramStart"/>
      <w:r w:rsidRPr="004A31BA">
        <w:rPr>
          <w:rFonts w:ascii="inherit" w:eastAsia="Times New Roman" w:hAnsi="inherit" w:cs="Helvetica"/>
          <w:color w:val="333333"/>
          <w:sz w:val="27"/>
          <w:szCs w:val="27"/>
          <w:lang w:eastAsia="en-GB"/>
        </w:rPr>
        <w:t>издавања</w:t>
      </w:r>
      <w:proofErr w:type="gramEnd"/>
      <w:r w:rsidRPr="004A31BA">
        <w:rPr>
          <w:rFonts w:ascii="inherit" w:eastAsia="Times New Roman" w:hAnsi="inherit" w:cs="Helvetica"/>
          <w:color w:val="333333"/>
          <w:sz w:val="27"/>
          <w:szCs w:val="27"/>
          <w:lang w:eastAsia="en-GB"/>
        </w:rPr>
        <w:t xml:space="preserve"> фискалног рачуна у оквиру кога је наведен податак о типу трансакције „рефундација”, у смислу члана 3.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тачка 2) овог правилника, када се исказује позив на јединствени редни број фискалног рачуна у оквиру кога је наведен податак о типу трансакције „продаја”, у смислу члана 2.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тачка 1) овог правилника, а на који се односи повраћај уплате или дела уплате за промет на мало, повраћај целог или дела аванса за будући промет на мало или враћање и замену добара испоручених купцу добара, или повраћај ПДВ-а купцу – путнику који у Републици Србији нема </w:t>
      </w:r>
      <w:r w:rsidRPr="004A31BA">
        <w:rPr>
          <w:rFonts w:ascii="inherit" w:eastAsia="Times New Roman" w:hAnsi="inherit" w:cs="Helvetica"/>
          <w:color w:val="333333"/>
          <w:sz w:val="27"/>
          <w:szCs w:val="27"/>
          <w:lang w:eastAsia="en-GB"/>
        </w:rPr>
        <w:lastRenderedPageBreak/>
        <w:t>пребивалиште ни боравиште у складу прописима којима се уређује такав повраћај ПДВ-а;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2) </w:t>
      </w:r>
      <w:proofErr w:type="gramStart"/>
      <w:r w:rsidRPr="004A31BA">
        <w:rPr>
          <w:rFonts w:ascii="inherit" w:eastAsia="Times New Roman" w:hAnsi="inherit" w:cs="Helvetica"/>
          <w:color w:val="333333"/>
          <w:sz w:val="27"/>
          <w:szCs w:val="27"/>
          <w:lang w:eastAsia="en-GB"/>
        </w:rPr>
        <w:t>издавања</w:t>
      </w:r>
      <w:proofErr w:type="gramEnd"/>
      <w:r w:rsidRPr="004A31BA">
        <w:rPr>
          <w:rFonts w:ascii="inherit" w:eastAsia="Times New Roman" w:hAnsi="inherit" w:cs="Helvetica"/>
          <w:color w:val="333333"/>
          <w:sz w:val="27"/>
          <w:szCs w:val="27"/>
          <w:lang w:eastAsia="en-GB"/>
        </w:rPr>
        <w:t xml:space="preserve"> рачуна за промет на мало, у смислу члана 2.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 овог правилника, у оквиру кога је плаћање извршено путем аванса, у целости или делимично, када се исказује позив на јединствени редни број једног или више рачуна за аванс, у смислу члана 2.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2) овог правилника;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3) </w:t>
      </w:r>
      <w:proofErr w:type="gramStart"/>
      <w:r w:rsidRPr="004A31BA">
        <w:rPr>
          <w:rFonts w:ascii="inherit" w:eastAsia="Times New Roman" w:hAnsi="inherit" w:cs="Helvetica"/>
          <w:color w:val="333333"/>
          <w:sz w:val="27"/>
          <w:szCs w:val="27"/>
          <w:lang w:eastAsia="en-GB"/>
        </w:rPr>
        <w:t>издавања</w:t>
      </w:r>
      <w:proofErr w:type="gramEnd"/>
      <w:r w:rsidRPr="004A31BA">
        <w:rPr>
          <w:rFonts w:ascii="inherit" w:eastAsia="Times New Roman" w:hAnsi="inherit" w:cs="Helvetica"/>
          <w:color w:val="333333"/>
          <w:sz w:val="27"/>
          <w:szCs w:val="27"/>
          <w:lang w:eastAsia="en-GB"/>
        </w:rPr>
        <w:t xml:space="preserve"> копије рачуна, у смислу члана 2.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4.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 овог правилника, када се исказује позив на јединствени редни број рачуна за промет на мало, у смислу члана 9.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 овог правилника или рачуна за аванс, у смислу члана 9.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2) овог правилника;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4) </w:t>
      </w:r>
      <w:proofErr w:type="gramStart"/>
      <w:r w:rsidRPr="004A31BA">
        <w:rPr>
          <w:rFonts w:ascii="inherit" w:eastAsia="Times New Roman" w:hAnsi="inherit" w:cs="Helvetica"/>
          <w:color w:val="333333"/>
          <w:sz w:val="27"/>
          <w:szCs w:val="27"/>
          <w:lang w:eastAsia="en-GB"/>
        </w:rPr>
        <w:t>издавања</w:t>
      </w:r>
      <w:proofErr w:type="gramEnd"/>
      <w:r w:rsidRPr="004A31BA">
        <w:rPr>
          <w:rFonts w:ascii="inherit" w:eastAsia="Times New Roman" w:hAnsi="inherit" w:cs="Helvetica"/>
          <w:color w:val="333333"/>
          <w:sz w:val="27"/>
          <w:szCs w:val="27"/>
          <w:lang w:eastAsia="en-GB"/>
        </w:rPr>
        <w:t xml:space="preserve"> рачуна за промет на мало, у смислу члана 2.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 овог правилника, који се односи на промет на мало извршеног на основу података из предрачуна, у смислу члана 2.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4.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3) овог правилника, када се исказује позив на јединствени редни број тог предрачуна;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5) </w:t>
      </w:r>
      <w:proofErr w:type="gramStart"/>
      <w:r w:rsidRPr="004A31BA">
        <w:rPr>
          <w:rFonts w:ascii="inherit" w:eastAsia="Times New Roman" w:hAnsi="inherit" w:cs="Helvetica"/>
          <w:color w:val="333333"/>
          <w:sz w:val="27"/>
          <w:szCs w:val="27"/>
          <w:lang w:eastAsia="en-GB"/>
        </w:rPr>
        <w:t>издавања</w:t>
      </w:r>
      <w:proofErr w:type="gramEnd"/>
      <w:r w:rsidRPr="004A31BA">
        <w:rPr>
          <w:rFonts w:ascii="inherit" w:eastAsia="Times New Roman" w:hAnsi="inherit" w:cs="Helvetica"/>
          <w:color w:val="333333"/>
          <w:sz w:val="27"/>
          <w:szCs w:val="27"/>
          <w:lang w:eastAsia="en-GB"/>
        </w:rPr>
        <w:t xml:space="preserve"> рачуна за аванс, у смислу члана 2.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2) овог правилника, који се односи на плаћање извршено на основу података из предрачуна, у смислу члана 2.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4.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3) овог правилника, када се исказује позив на јединствени редни број тог предрачуна.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Обвезник фискализације, преко електронског фискалног уређаја, на фискалном рачуну исказује позив на број другог релевантног документа,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2. </w:t>
      </w:r>
      <w:proofErr w:type="gramStart"/>
      <w:r w:rsidRPr="004A31BA">
        <w:rPr>
          <w:rFonts w:ascii="inherit" w:eastAsia="Times New Roman" w:hAnsi="inherit" w:cs="Helvetica"/>
          <w:color w:val="333333"/>
          <w:sz w:val="27"/>
          <w:szCs w:val="27"/>
          <w:lang w:eastAsia="en-GB"/>
        </w:rPr>
        <w:t>тачка</w:t>
      </w:r>
      <w:proofErr w:type="gramEnd"/>
      <w:r w:rsidRPr="004A31BA">
        <w:rPr>
          <w:rFonts w:ascii="inherit" w:eastAsia="Times New Roman" w:hAnsi="inherit" w:cs="Helvetica"/>
          <w:color w:val="333333"/>
          <w:sz w:val="27"/>
          <w:szCs w:val="27"/>
          <w:lang w:eastAsia="en-GB"/>
        </w:rPr>
        <w:t xml:space="preserve"> 16) Закона, у случају да поред фискалног рачуна купцу добара, односно кориснику услуга издаје и други рачун или сличан документ, а који се не сматра фискалним рачуном у смислу члана 5.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Закона.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У случају из става 2.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 обвезник фискализације на фискалном рачуну исказује позив на број или други идентификациону ознаку другог рачуна или сличног документа из става 2.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12.</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Обвезник фискализације, преко електронског фискалног уређаја, на фискалном рачуну може да исказује и рекламне поруке, бројеве телефона и друге податке у текстуалном формату од значаја за обвезника фискализације и/или купца добара, односно корисника услуга.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lastRenderedPageBreak/>
        <w:t xml:space="preserve">Подаци из става 1.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 не смеју бити приказани истим фонтом као и остали подаци на фискалном рачуну, при чему сама величина фонта мора бити мања од текста којим се приказују остали подаци на фискалном рачуну.</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13.</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Обвезник фискализације, преко електронског фискалног уређаја, фискални рачун идаје купцу добара, односно кориснику услуга у штампаној форми, а која омогућава проверу фискалног рачуна, у складу са чланом 10.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Закона.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Изузетно од става 1. </w:t>
      </w:r>
      <w:proofErr w:type="gramStart"/>
      <w:r w:rsidRPr="004A31BA">
        <w:rPr>
          <w:rFonts w:ascii="inherit" w:eastAsia="Times New Roman" w:hAnsi="inherit" w:cs="Helvetica"/>
          <w:color w:val="333333"/>
          <w:sz w:val="27"/>
          <w:szCs w:val="27"/>
          <w:lang w:eastAsia="en-GB"/>
        </w:rPr>
        <w:t>овог</w:t>
      </w:r>
      <w:proofErr w:type="gramEnd"/>
      <w:r w:rsidRPr="004A31BA">
        <w:rPr>
          <w:rFonts w:ascii="inherit" w:eastAsia="Times New Roman" w:hAnsi="inherit" w:cs="Helvetica"/>
          <w:color w:val="333333"/>
          <w:sz w:val="27"/>
          <w:szCs w:val="27"/>
          <w:lang w:eastAsia="en-GB"/>
        </w:rPr>
        <w:t xml:space="preserve"> члана, обвезник фискализације који обавља промет на мало искључиво путем интернета, преко електронског фискалног уређаја, фискални рачун издаје купцу добара, односно кориснику услуга у електронској форми, а која омогућава проверу фискалног рачуна, у складу са чланом 10. </w:t>
      </w:r>
      <w:proofErr w:type="gramStart"/>
      <w:r w:rsidRPr="004A31BA">
        <w:rPr>
          <w:rFonts w:ascii="inherit" w:eastAsia="Times New Roman" w:hAnsi="inherit" w:cs="Helvetica"/>
          <w:color w:val="333333"/>
          <w:sz w:val="27"/>
          <w:szCs w:val="27"/>
          <w:lang w:eastAsia="en-GB"/>
        </w:rPr>
        <w:t>став</w:t>
      </w:r>
      <w:proofErr w:type="gramEnd"/>
      <w:r w:rsidRPr="004A31BA">
        <w:rPr>
          <w:rFonts w:ascii="inherit" w:eastAsia="Times New Roman" w:hAnsi="inherit" w:cs="Helvetica"/>
          <w:color w:val="333333"/>
          <w:sz w:val="27"/>
          <w:szCs w:val="27"/>
          <w:lang w:eastAsia="en-GB"/>
        </w:rPr>
        <w:t xml:space="preserve"> 1. Закона.</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Фискални рачун се купцу добара, односно кориснику услуга издаје у једном примерку.</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Независно од начина издавања, подаци на фискалном рачуну морају бити исказани на српском језику, ћириличким и/или латиничким писмом.</w:t>
      </w:r>
    </w:p>
    <w:p w:rsidR="004A31BA" w:rsidRPr="004A31BA" w:rsidRDefault="004A31BA" w:rsidP="004A31BA">
      <w:pPr>
        <w:shd w:val="clear" w:color="auto" w:fill="FFFFFF"/>
        <w:spacing w:after="120" w:line="240" w:lineRule="auto"/>
        <w:textAlignment w:val="baseline"/>
        <w:outlineLvl w:val="5"/>
        <w:rPr>
          <w:rFonts w:ascii="Helvetica" w:eastAsia="Times New Roman" w:hAnsi="Helvetica" w:cs="Helvetica"/>
          <w:b/>
          <w:bCs/>
          <w:color w:val="D23232"/>
          <w:sz w:val="27"/>
          <w:szCs w:val="27"/>
          <w:lang w:eastAsia="en-GB"/>
        </w:rPr>
      </w:pPr>
      <w:r w:rsidRPr="004A31BA">
        <w:rPr>
          <w:rFonts w:ascii="Helvetica" w:eastAsia="Times New Roman" w:hAnsi="Helvetica" w:cs="Helvetica"/>
          <w:b/>
          <w:bCs/>
          <w:color w:val="D23232"/>
          <w:sz w:val="27"/>
          <w:szCs w:val="27"/>
          <w:lang w:eastAsia="en-GB"/>
        </w:rPr>
        <w:t>Члан 14.</w:t>
      </w:r>
    </w:p>
    <w:p w:rsidR="004A31BA" w:rsidRPr="004A31BA" w:rsidRDefault="004A31BA" w:rsidP="004A31BA">
      <w:pPr>
        <w:shd w:val="clear" w:color="auto" w:fill="FFFFFF"/>
        <w:spacing w:after="450"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xml:space="preserve">Овај правилник ступа на снагу осмог дана од дана објављивања у „Службеном гласнику Републике Србије”, а примењује се од 1. </w:t>
      </w:r>
      <w:proofErr w:type="gramStart"/>
      <w:r w:rsidRPr="004A31BA">
        <w:rPr>
          <w:rFonts w:ascii="inherit" w:eastAsia="Times New Roman" w:hAnsi="inherit" w:cs="Helvetica"/>
          <w:color w:val="333333"/>
          <w:sz w:val="27"/>
          <w:szCs w:val="27"/>
          <w:lang w:eastAsia="en-GB"/>
        </w:rPr>
        <w:t>јануара</w:t>
      </w:r>
      <w:proofErr w:type="gramEnd"/>
      <w:r w:rsidRPr="004A31BA">
        <w:rPr>
          <w:rFonts w:ascii="inherit" w:eastAsia="Times New Roman" w:hAnsi="inherit" w:cs="Helvetica"/>
          <w:color w:val="333333"/>
          <w:sz w:val="27"/>
          <w:szCs w:val="27"/>
          <w:lang w:eastAsia="en-GB"/>
        </w:rPr>
        <w:t xml:space="preserve"> 2022. </w:t>
      </w:r>
      <w:proofErr w:type="gramStart"/>
      <w:r w:rsidRPr="004A31BA">
        <w:rPr>
          <w:rFonts w:ascii="inherit" w:eastAsia="Times New Roman" w:hAnsi="inherit" w:cs="Helvetica"/>
          <w:color w:val="333333"/>
          <w:sz w:val="27"/>
          <w:szCs w:val="27"/>
          <w:lang w:eastAsia="en-GB"/>
        </w:rPr>
        <w:t>године</w:t>
      </w:r>
      <w:proofErr w:type="gramEnd"/>
      <w:r w:rsidRPr="004A31BA">
        <w:rPr>
          <w:rFonts w:ascii="inherit" w:eastAsia="Times New Roman" w:hAnsi="inherit" w:cs="Helvetica"/>
          <w:color w:val="333333"/>
          <w:sz w:val="27"/>
          <w:szCs w:val="27"/>
          <w:lang w:eastAsia="en-GB"/>
        </w:rPr>
        <w:t>.</w:t>
      </w:r>
    </w:p>
    <w:p w:rsidR="004A31BA" w:rsidRPr="004A31BA" w:rsidRDefault="004A31BA" w:rsidP="004A31BA">
      <w:pPr>
        <w:shd w:val="clear" w:color="auto" w:fill="FFFFFF"/>
        <w:spacing w:line="240" w:lineRule="auto"/>
        <w:textAlignment w:val="baseline"/>
        <w:rPr>
          <w:rFonts w:ascii="inherit" w:eastAsia="Times New Roman" w:hAnsi="inherit" w:cs="Helvetica"/>
          <w:color w:val="333333"/>
          <w:sz w:val="27"/>
          <w:szCs w:val="27"/>
          <w:lang w:eastAsia="en-GB"/>
        </w:rPr>
      </w:pPr>
      <w:r w:rsidRPr="004A31BA">
        <w:rPr>
          <w:rFonts w:ascii="inherit" w:eastAsia="Times New Roman" w:hAnsi="inherit" w:cs="Helvetica"/>
          <w:color w:val="333333"/>
          <w:sz w:val="27"/>
          <w:szCs w:val="27"/>
          <w:lang w:eastAsia="en-GB"/>
        </w:rPr>
        <w:t> </w:t>
      </w:r>
    </w:p>
    <w:p w:rsidR="0051146D" w:rsidRDefault="0051146D">
      <w:bookmarkStart w:id="0" w:name="_GoBack"/>
      <w:bookmarkEnd w:id="0"/>
    </w:p>
    <w:sectPr w:rsidR="00511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BA"/>
    <w:rsid w:val="004A31BA"/>
    <w:rsid w:val="0051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794F5-3785-4799-AA70-0BDC3AD4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92089">
      <w:bodyDiv w:val="1"/>
      <w:marLeft w:val="0"/>
      <w:marRight w:val="0"/>
      <w:marTop w:val="0"/>
      <w:marBottom w:val="0"/>
      <w:divBdr>
        <w:top w:val="none" w:sz="0" w:space="0" w:color="auto"/>
        <w:left w:val="none" w:sz="0" w:space="0" w:color="auto"/>
        <w:bottom w:val="none" w:sz="0" w:space="0" w:color="auto"/>
        <w:right w:val="none" w:sz="0" w:space="0" w:color="auto"/>
      </w:divBdr>
      <w:divsChild>
        <w:div w:id="1196771831">
          <w:marLeft w:val="0"/>
          <w:marRight w:val="0"/>
          <w:marTop w:val="0"/>
          <w:marBottom w:val="150"/>
          <w:divBdr>
            <w:top w:val="none" w:sz="0" w:space="0" w:color="auto"/>
            <w:left w:val="none" w:sz="0" w:space="0" w:color="auto"/>
            <w:bottom w:val="none" w:sz="0" w:space="0" w:color="auto"/>
            <w:right w:val="none" w:sz="0" w:space="0" w:color="auto"/>
          </w:divBdr>
        </w:div>
        <w:div w:id="379207329">
          <w:marLeft w:val="0"/>
          <w:marRight w:val="0"/>
          <w:marTop w:val="54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obilten.com/objavljen-sluzbeni-glasnik-rs-broj-31-od-31-3-2021-god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obilten.com/tag/fiskalni-racun/" TargetMode="External"/><Relationship Id="rId5" Type="http://schemas.openxmlformats.org/officeDocument/2006/relationships/hyperlink" Target="https://www.neobilten.com/tag/pravilnik/" TargetMode="External"/><Relationship Id="rId4" Type="http://schemas.openxmlformats.org/officeDocument/2006/relationships/hyperlink" Target="https://www.neobilten.com/kategorija/oblast/03-porezi-ostalo-fiskalne-ka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Jukic</dc:creator>
  <cp:keywords/>
  <dc:description/>
  <cp:lastModifiedBy>Denis Jukic</cp:lastModifiedBy>
  <cp:revision>1</cp:revision>
  <dcterms:created xsi:type="dcterms:W3CDTF">2021-04-02T10:26:00Z</dcterms:created>
  <dcterms:modified xsi:type="dcterms:W3CDTF">2021-04-02T10:27:00Z</dcterms:modified>
</cp:coreProperties>
</file>